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"Talento que Atiende"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Objetivo del ejercicio: El candidato, aspirante de cargo de Asistente de Talento Humano, participa en un ejercicio de juego de rol para evaluar su Orientación al Servicio frente a dos tipos de clientes: Interno y Externo.   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Desarrollo: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Situación 1 – Cliente interno.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Una supervisora de Producción llega molesta porque un empleado nuevo no tiene acceso al sistema de asistencia y sus correos no han sido respondido.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(El candidato debe escuchar, mostrar empatía, mantener el respeto y ofrecer una solución clara y oportuna).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Situación 2 – Cliente externo.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 candidato de un proceso de selección llama preocupado por la falta de actualizaciones.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(El candidato debe tranquilizarlo, brindarle información precisa y tratarlo con cordialidad y respeto).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Propósito del ejercicio.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Observar cómo el candidato atiende solicitudes, maneja emociones de clientes, responde a situaciones y presión y mantiene un trato respetuoso y orientado al servicio.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7"/>
        <w:gridCol w:w="7938"/>
        <w:tblGridChange w:id="0">
          <w:tblGrid>
            <w:gridCol w:w="2547"/>
            <w:gridCol w:w="793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Competencia evaluada: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Candidato: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Evaluador: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9"/>
        <w:gridCol w:w="2952"/>
        <w:gridCol w:w="1681"/>
        <w:gridCol w:w="4223"/>
        <w:tblGridChange w:id="0">
          <w:tblGrid>
            <w:gridCol w:w="1599"/>
            <w:gridCol w:w="2952"/>
            <w:gridCol w:w="1681"/>
            <w:gridCol w:w="422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Criterio / Situación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Descripción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Puntaje de 1 a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Observaciones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Empatía con el cliente interno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Escucha activamente, reconoce frustraciones, muestra comprensión de la situación.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Claridad y resolución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Ofrece solución concreta, comunica pasos a seguir, asegura que el problema será atendido.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Colaboración y apoyo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muestra disponible, ofrece alternativas, mantiene actitud proactiva.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Criterio / Situación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Empatía con el cliente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Escucha activamente, valida preocupaciones, transmite calma y comprensión.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Profesionalismo y cordialidad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Brinda información clara y precisa, explica el estado del proceso o próximos pasos.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Comunicación asertiva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Mantiene lenguaje respetuoso y tono adecuado, genera confianza y buena imagen de la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Escala de calificación final: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(Deficiente) Respuesta inadecuada o contraproducente para la comunicación organizacional.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Rango total final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 (Bajo)</w:t>
        <w:tab/>
        <w:t xml:space="preserve">Mensaje confuso, con tono inapropiado o sin evidencia de empatía.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(Aceptable) Cumple con la intención comunicativa, aunque el mensaje puede ser ambiguo o demasiado general.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 (Bueno) Respuesta clara y respetuosa, con pequeños detalles de mejora.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 (Excelente) Respuesta completamente clara, empática y asertiva; lenguaje impecable, tono adecuado y soluciones precisas.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RESUMEN DE CALIFICACIÓN GLOBAL:</w:t>
      </w:r>
    </w:p>
    <w:p w:rsidR="00000000" w:rsidDel="00000000" w:rsidP="00000000" w:rsidRDefault="00000000" w:rsidRPr="00000000" w14:paraId="0000003F">
      <w:pPr>
        <w:spacing w:line="276" w:lineRule="auto"/>
        <w:ind w:right="-3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(Max. 20 puntos: promedio final (total ÷4)_/5</w:t>
      </w:r>
    </w:p>
    <w:p w:rsidR="00000000" w:rsidDel="00000000" w:rsidP="00000000" w:rsidRDefault="00000000" w:rsidRPr="00000000" w14:paraId="00000040">
      <w:pPr>
        <w:spacing w:line="276" w:lineRule="auto"/>
        <w:ind w:right="-34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Promedio: 1.5 - 2.5 (bajo), 2.6 – 3.5 (aceptable) 3.6 – 4.5 (bueno), 4.6 – 5.0 (excelente)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8490.0" w:type="dxa"/>
      <w:jc w:val="left"/>
      <w:tblLayout w:type="fixed"/>
      <w:tblLook w:val="0000"/>
    </w:tblPr>
    <w:tblGrid>
      <w:gridCol w:w="2830"/>
      <w:gridCol w:w="2830"/>
      <w:gridCol w:w="2830"/>
      <w:tblGridChange w:id="0">
        <w:tblGrid>
          <w:gridCol w:w="2830"/>
          <w:gridCol w:w="2830"/>
          <w:gridCol w:w="2830"/>
        </w:tblGrid>
      </w:tblGridChange>
    </w:tblGrid>
    <w:tr>
      <w:trPr>
        <w:cantSplit w:val="0"/>
        <w:trHeight w:val="300" w:hRule="atLeast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10513.000000000002" w:type="dxa"/>
      <w:jc w:val="left"/>
      <w:tblInd w:w="134.0" w:type="dxa"/>
      <w:tblLayout w:type="fixed"/>
      <w:tblLook w:val="0000"/>
    </w:tblPr>
    <w:tblGrid>
      <w:gridCol w:w="2088"/>
      <w:gridCol w:w="5626"/>
      <w:gridCol w:w="2799"/>
      <w:tblGridChange w:id="0">
        <w:tblGrid>
          <w:gridCol w:w="2088"/>
          <w:gridCol w:w="5626"/>
          <w:gridCol w:w="2799"/>
        </w:tblGrid>
      </w:tblGridChange>
    </w:tblGrid>
    <w:tr>
      <w:trPr>
        <w:cantSplit w:val="0"/>
        <w:trHeight w:val="188" w:hRule="atLeast"/>
        <w:tblHeader w:val="1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43000" cy="723900"/>
                <wp:effectExtent b="0" l="0" r="0" t="0"/>
                <wp:docPr descr="Logotipo&#10;&#10;El contenido generado por IA puede ser incorrecto." id="249136010" name="image1.png"/>
                <a:graphic>
                  <a:graphicData uri="http://schemas.openxmlformats.org/drawingml/2006/picture">
                    <pic:pic>
                      <pic:nvPicPr>
                        <pic:cNvPr descr="Logotipo&#10;&#10;El contenido generado por IA puede ser incorrecto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DE EVALUACION JUEGO DE ROLES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 GHT–F-00X</w:t>
          </w:r>
        </w:p>
      </w:tc>
    </w:tr>
    <w:tr>
      <w:trPr>
        <w:cantSplit w:val="0"/>
        <w:trHeight w:val="66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 0.0</w:t>
          </w:r>
        </w:p>
      </w:tc>
    </w:tr>
    <w:tr>
      <w:trPr>
        <w:cantSplit w:val="0"/>
        <w:trHeight w:val="66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FECHA: 14/11/2025</w:t>
          </w:r>
        </w:p>
      </w:tc>
    </w:tr>
    <w:tr>
      <w:trPr>
        <w:cantSplit w:val="0"/>
        <w:trHeight w:val="244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PÁGINA: 1 de _</w:t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s4tsjl3k19j2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4" w:default="1">
    <w:name w:val="Default Paragraph Font"/>
    <w:uiPriority w:val="1"/>
    <w:semiHidden w:val="1"/>
    <w:unhideWhenUsed w:val="1"/>
  </w:style>
  <w:style w:type="table" w:styleId="5" w:default="1">
    <w:name w:val="Normal Table"/>
    <w:uiPriority w:val="99"/>
    <w:semiHidden w:val="1"/>
    <w:unhideWhenUsed w:val="1"/>
    <w:qFormat w:val="1"/>
    <w:pPr>
      <w:keepNext w:val="0"/>
      <w:keepLines w:val="0"/>
      <w:widowControl w:val="1"/>
      <w:suppressLineNumbers w:val="0"/>
      <w:spacing w:after="160" w:afterAutospacing="0" w:before="0" w:beforeAutospacing="0" w:line="276" w:lineRule="auto"/>
      <w:ind w:left="0" w:right="0"/>
    </w:pPr>
    <w:rPr>
      <w:rFonts w:ascii="Aptos" w:cs="Aptos" w:eastAsia="Aptos" w:hAnsi="Aptos" w:hint="eastAsia"/>
      <w:kern w:val="2"/>
      <w:sz w:val="24"/>
      <w:szCs w:val="24"/>
      <w:lang/>
    </w:rPr>
    <w:tblPr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6">
    <w:name w:val="header"/>
    <w:basedOn w:val="1"/>
    <w:link w:val="9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5"/>
    <w:uiPriority w:val="59"/>
    <w:qFormat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9" w:customStyle="1">
    <w:name w:val="Encabezado Car"/>
    <w:basedOn w:val="4"/>
    <w:link w:val="6"/>
    <w:uiPriority w:val="99"/>
    <w:qFormat w:val="1"/>
  </w:style>
  <w:style w:type="character" w:styleId="10" w:customStyle="1">
    <w:name w:val="Pie de página Car"/>
    <w:basedOn w:val="4"/>
    <w:link w:val="7"/>
    <w:uiPriority w:val="99"/>
  </w:style>
  <w:style w:type="paragraph" w:styleId="11">
    <w:name w:val="List Paragraph"/>
    <w:basedOn w:val="1"/>
    <w:uiPriority w:val="34"/>
    <w:qFormat w:val="1"/>
    <w:pPr>
      <w:ind w:left="720"/>
      <w:contextualSpacing w:val="1"/>
    </w:pPr>
  </w:style>
  <w:style w:type="character" w:styleId="12" w:customStyle="1">
    <w:name w:val="Título 2 Car"/>
    <w:basedOn w:val="4"/>
    <w:link w:val="2"/>
    <w:uiPriority w:val="9"/>
    <w:rPr>
      <w:rFonts w:asciiTheme="majorHAnsi" w:cstheme="majorBidi" w:eastAsiaTheme="majorEastAsia" w:hAnsiTheme="majorHAnsi"/>
      <w:color w:val="104862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keepNext w:val="0"/>
      <w:keepLines w:val="0"/>
      <w:widowControl w:val="1"/>
      <w:spacing w:after="0" w:before="0" w:line="240" w:lineRule="auto"/>
      <w:ind w:left="0" w:right="0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keepNext w:val="0"/>
      <w:keepLines w:val="0"/>
      <w:widowControl w:val="1"/>
      <w:spacing w:after="0" w:before="0" w:line="240" w:lineRule="auto"/>
      <w:ind w:left="0" w:right="0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keepNext w:val="0"/>
      <w:keepLines w:val="0"/>
      <w:widowControl w:val="1"/>
      <w:spacing w:after="160" w:before="0" w:line="276" w:lineRule="auto"/>
      <w:ind w:left="0" w:right="0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keepNext w:val="0"/>
      <w:keepLines w:val="0"/>
      <w:widowControl w:val="1"/>
      <w:spacing w:after="160" w:before="0" w:line="276" w:lineRule="auto"/>
      <w:ind w:left="0" w:right="0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uYgS75M+2IwOAb3pd7qdzhiCw==">CgMxLjAyDmguczR0c2psM2sxOWoyOAByITEyOG4tR1lwWnZfT2pDbmlwbTFzNkFuRkJybUQtRnNxRw==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2025-11-14T15:48:00Z</dcterms:created>
  <dc:creator>Lillen Lozada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2025-11-14T15:34:11Z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c7052e09-a92f-441d-b285-ab9a76155c20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  <property fmtid="{D5CDD505-2E9C-101B-9397-08002B2CF9AE}" pid="10" name="KSOProductBuildVer">
    <vt:lpwstr>3082-12.2.0.23155</vt:lpwstr>
  </property>
  <property fmtid="{D5CDD505-2E9C-101B-9397-08002B2CF9AE}" pid="11" name="ICV">
    <vt:lpwstr>278CE21C46B94E889AD46BEE9BC642AD_13</vt:lpwstr>
  </property>
</Properties>
</file>